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6368D65B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3820F2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EC13BA" w:rsidRPr="00EC13BA">
        <w:rPr>
          <w:rFonts w:ascii="Arial" w:hAnsi="Arial" w:cs="Arial"/>
          <w:b/>
          <w:bCs/>
          <w:color w:val="F25924"/>
          <w:sz w:val="28"/>
          <w:szCs w:val="28"/>
        </w:rPr>
        <w:t>Emma Murphy Elementary School</w:t>
      </w:r>
      <w:r w:rsidR="00D230C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25D7BAA" w:rsidR="008565EC" w:rsidRDefault="00D230C2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October 2022, November 2022, December 2022, January 2022, and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625D7BAA" w:rsidR="008565EC" w:rsidRDefault="00D230C2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October 2022, November 2022, December 2022, January 2022, and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0DDA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0C2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13BA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2023-04-12T16:40:00Z</dcterms:created>
  <dcterms:modified xsi:type="dcterms:W3CDTF">2023-04-12T16:41:00Z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